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507" w:rsidRDefault="00EB7507" w:rsidP="00EB7507">
      <w:pPr>
        <w:spacing w:line="360" w:lineRule="auto"/>
        <w:rPr>
          <w:rFonts w:asciiTheme="minorEastAsia" w:hAnsiTheme="minorEastAsia" w:cs="TT64E9BFA0tCID-WinCharSetFFFF-H"/>
          <w:kern w:val="0"/>
          <w:sz w:val="24"/>
          <w:szCs w:val="24"/>
        </w:rPr>
      </w:pPr>
      <w:r w:rsidRPr="008E1C62">
        <w:rPr>
          <w:rFonts w:asciiTheme="minorEastAsia" w:hAnsiTheme="minorEastAsia" w:cs="TT64E9BFA0tCID-WinCharSetFFFF-H" w:hint="eastAsia"/>
          <w:kern w:val="0"/>
          <w:sz w:val="24"/>
          <w:szCs w:val="24"/>
        </w:rPr>
        <w:t>附件</w:t>
      </w:r>
      <w:r w:rsidR="00AF5977">
        <w:rPr>
          <w:rFonts w:asciiTheme="minorEastAsia" w:hAnsiTheme="minorEastAsia" w:cs="TT64E9BFA0tCID-WinCharSetFFFF-H" w:hint="eastAsia"/>
          <w:kern w:val="0"/>
          <w:sz w:val="24"/>
          <w:szCs w:val="24"/>
        </w:rPr>
        <w:t>二</w:t>
      </w:r>
      <w:r w:rsidRPr="008E1C62">
        <w:rPr>
          <w:rFonts w:asciiTheme="minorEastAsia" w:hAnsiTheme="minorEastAsia" w:cs="TT64E9BFA0tCID-WinCharSetFFFF-H" w:hint="eastAsia"/>
          <w:kern w:val="0"/>
          <w:sz w:val="24"/>
          <w:szCs w:val="24"/>
        </w:rPr>
        <w:t>：</w:t>
      </w:r>
      <w:r w:rsidRPr="00EF3335">
        <w:rPr>
          <w:rFonts w:hint="eastAsia"/>
          <w:sz w:val="24"/>
          <w:szCs w:val="24"/>
        </w:rPr>
        <w:t>广发亚太（除日本）精选股票型证券投资基金</w:t>
      </w:r>
      <w:r w:rsidRPr="008E1C62">
        <w:rPr>
          <w:rFonts w:asciiTheme="minorEastAsia" w:hAnsiTheme="minorEastAsia" w:cs="TT64E9BFA0tCID-WinCharSetFFFF-H" w:hint="eastAsia"/>
          <w:kern w:val="0"/>
          <w:sz w:val="24"/>
          <w:szCs w:val="24"/>
        </w:rPr>
        <w:t>基金份额持有人大会表决票</w:t>
      </w:r>
    </w:p>
    <w:tbl>
      <w:tblPr>
        <w:tblStyle w:val="a3"/>
        <w:tblW w:w="0" w:type="auto"/>
        <w:tblLook w:val="04A0"/>
      </w:tblPr>
      <w:tblGrid>
        <w:gridCol w:w="4261"/>
        <w:gridCol w:w="1420"/>
        <w:gridCol w:w="1420"/>
        <w:gridCol w:w="1421"/>
      </w:tblGrid>
      <w:tr w:rsidR="00EB7507" w:rsidTr="002F1787">
        <w:tc>
          <w:tcPr>
            <w:tcW w:w="4261" w:type="dxa"/>
            <w:vAlign w:val="center"/>
          </w:tcPr>
          <w:p w:rsidR="00EB7507" w:rsidRPr="008E1C62" w:rsidRDefault="00EB7507" w:rsidP="002F1787">
            <w:pPr>
              <w:spacing w:line="360" w:lineRule="auto"/>
              <w:jc w:val="center"/>
              <w:rPr>
                <w:rFonts w:ascii="Times New Roman" w:hAnsi="Times New Roman"/>
                <w:sz w:val="24"/>
                <w:szCs w:val="24"/>
              </w:rPr>
            </w:pPr>
            <w:r w:rsidRPr="008E1C62">
              <w:rPr>
                <w:rFonts w:ascii="Times New Roman" w:hAnsi="Times New Roman" w:hint="eastAsia"/>
                <w:sz w:val="24"/>
                <w:szCs w:val="24"/>
              </w:rPr>
              <w:t>基金份额持有人姓名或名称：</w:t>
            </w:r>
          </w:p>
        </w:tc>
        <w:tc>
          <w:tcPr>
            <w:tcW w:w="4261" w:type="dxa"/>
            <w:gridSpan w:val="3"/>
            <w:vAlign w:val="center"/>
          </w:tcPr>
          <w:p w:rsidR="00EB7507" w:rsidRDefault="00EB7507" w:rsidP="002F1787">
            <w:pPr>
              <w:spacing w:line="360" w:lineRule="auto"/>
              <w:jc w:val="center"/>
              <w:rPr>
                <w:rFonts w:ascii="Times New Roman" w:hAnsi="Times New Roman"/>
                <w:sz w:val="24"/>
                <w:szCs w:val="24"/>
              </w:rPr>
            </w:pPr>
          </w:p>
          <w:p w:rsidR="00EB7507" w:rsidRDefault="00EB7507" w:rsidP="002F1787">
            <w:pPr>
              <w:spacing w:line="360" w:lineRule="auto"/>
              <w:jc w:val="center"/>
              <w:rPr>
                <w:rFonts w:ascii="Times New Roman" w:hAnsi="Times New Roman"/>
                <w:sz w:val="24"/>
                <w:szCs w:val="24"/>
              </w:rPr>
            </w:pPr>
          </w:p>
          <w:p w:rsidR="00EB7507" w:rsidRPr="008E1C62" w:rsidRDefault="00EB7507" w:rsidP="002F1787">
            <w:pPr>
              <w:spacing w:line="360" w:lineRule="auto"/>
              <w:jc w:val="center"/>
              <w:rPr>
                <w:rFonts w:ascii="Times New Roman" w:hAnsi="Times New Roman"/>
                <w:sz w:val="24"/>
                <w:szCs w:val="24"/>
              </w:rPr>
            </w:pPr>
          </w:p>
        </w:tc>
      </w:tr>
      <w:tr w:rsidR="00EB7507" w:rsidTr="002F1787">
        <w:tc>
          <w:tcPr>
            <w:tcW w:w="4261" w:type="dxa"/>
            <w:vAlign w:val="center"/>
          </w:tcPr>
          <w:p w:rsidR="00EB7507" w:rsidRPr="008E1C62" w:rsidRDefault="00EB7507" w:rsidP="002F1787">
            <w:pPr>
              <w:spacing w:line="360" w:lineRule="auto"/>
              <w:jc w:val="center"/>
              <w:rPr>
                <w:rFonts w:ascii="Times New Roman" w:hAnsi="Times New Roman"/>
                <w:sz w:val="24"/>
                <w:szCs w:val="24"/>
              </w:rPr>
            </w:pPr>
            <w:r w:rsidRPr="008E1C62">
              <w:rPr>
                <w:rFonts w:ascii="Times New Roman" w:hAnsi="Times New Roman" w:hint="eastAsia"/>
                <w:sz w:val="24"/>
                <w:szCs w:val="24"/>
              </w:rPr>
              <w:t>证件号码</w:t>
            </w:r>
            <w:r w:rsidRPr="008E1C62">
              <w:rPr>
                <w:rFonts w:ascii="Times New Roman" w:hAnsi="Times New Roman"/>
                <w:sz w:val="24"/>
                <w:szCs w:val="24"/>
              </w:rPr>
              <w:t>(</w:t>
            </w:r>
            <w:r w:rsidRPr="008E1C62">
              <w:rPr>
                <w:rFonts w:ascii="Times New Roman" w:hAnsi="Times New Roman" w:hint="eastAsia"/>
                <w:sz w:val="24"/>
                <w:szCs w:val="24"/>
              </w:rPr>
              <w:t>身份证件号</w:t>
            </w:r>
            <w:r w:rsidRPr="008E1C62">
              <w:rPr>
                <w:rFonts w:ascii="Times New Roman" w:hAnsi="Times New Roman"/>
                <w:sz w:val="24"/>
                <w:szCs w:val="24"/>
              </w:rPr>
              <w:t>/</w:t>
            </w:r>
            <w:r w:rsidRPr="008E1C62">
              <w:rPr>
                <w:rFonts w:ascii="Times New Roman" w:hAnsi="Times New Roman" w:hint="eastAsia"/>
                <w:sz w:val="24"/>
                <w:szCs w:val="24"/>
              </w:rPr>
              <w:t>营业执照号</w:t>
            </w:r>
            <w:r w:rsidRPr="008E1C62">
              <w:rPr>
                <w:rFonts w:ascii="Times New Roman" w:hAnsi="Times New Roman"/>
                <w:sz w:val="24"/>
                <w:szCs w:val="24"/>
              </w:rPr>
              <w:t>)</w:t>
            </w:r>
            <w:r>
              <w:rPr>
                <w:rFonts w:ascii="Times New Roman" w:hAnsi="Times New Roman" w:hint="eastAsia"/>
                <w:sz w:val="24"/>
                <w:szCs w:val="24"/>
              </w:rPr>
              <w:t>：</w:t>
            </w:r>
            <w:r w:rsidRPr="008E1C62">
              <w:rPr>
                <w:rFonts w:ascii="Times New Roman" w:hAnsi="Times New Roman"/>
                <w:sz w:val="24"/>
                <w:szCs w:val="24"/>
              </w:rPr>
              <w:t xml:space="preserve"> </w:t>
            </w:r>
          </w:p>
        </w:tc>
        <w:tc>
          <w:tcPr>
            <w:tcW w:w="4261" w:type="dxa"/>
            <w:gridSpan w:val="3"/>
            <w:vAlign w:val="center"/>
          </w:tcPr>
          <w:p w:rsidR="00EB7507" w:rsidRDefault="00EB7507" w:rsidP="002F1787">
            <w:pPr>
              <w:spacing w:line="360" w:lineRule="auto"/>
              <w:jc w:val="center"/>
              <w:rPr>
                <w:rFonts w:ascii="Times New Roman" w:hAnsi="Times New Roman"/>
                <w:sz w:val="24"/>
                <w:szCs w:val="24"/>
              </w:rPr>
            </w:pPr>
          </w:p>
          <w:p w:rsidR="00EB7507" w:rsidRDefault="00EB7507" w:rsidP="002F1787">
            <w:pPr>
              <w:spacing w:line="360" w:lineRule="auto"/>
              <w:jc w:val="center"/>
              <w:rPr>
                <w:rFonts w:ascii="Times New Roman" w:hAnsi="Times New Roman"/>
                <w:sz w:val="24"/>
                <w:szCs w:val="24"/>
              </w:rPr>
            </w:pPr>
          </w:p>
          <w:p w:rsidR="00EB7507" w:rsidRPr="008E1C62" w:rsidRDefault="00EB7507" w:rsidP="002F1787">
            <w:pPr>
              <w:spacing w:line="360" w:lineRule="auto"/>
              <w:jc w:val="center"/>
              <w:rPr>
                <w:rFonts w:ascii="Times New Roman" w:hAnsi="Times New Roman"/>
                <w:sz w:val="24"/>
                <w:szCs w:val="24"/>
              </w:rPr>
            </w:pPr>
          </w:p>
        </w:tc>
      </w:tr>
      <w:tr w:rsidR="00EB7507" w:rsidTr="002F1787">
        <w:tc>
          <w:tcPr>
            <w:tcW w:w="4261" w:type="dxa"/>
            <w:vAlign w:val="center"/>
          </w:tcPr>
          <w:p w:rsidR="00EB7507" w:rsidRPr="008E1C62" w:rsidRDefault="00EB7507" w:rsidP="002F1787">
            <w:pPr>
              <w:spacing w:line="360" w:lineRule="auto"/>
              <w:jc w:val="center"/>
              <w:rPr>
                <w:rFonts w:ascii="Times New Roman" w:hAnsi="Times New Roman"/>
                <w:sz w:val="24"/>
                <w:szCs w:val="24"/>
              </w:rPr>
            </w:pPr>
            <w:r w:rsidRPr="008E1C62">
              <w:rPr>
                <w:rFonts w:ascii="Times New Roman" w:hAnsi="Times New Roman" w:hint="eastAsia"/>
                <w:sz w:val="24"/>
                <w:szCs w:val="24"/>
              </w:rPr>
              <w:t>基金份额持有人持有份额</w:t>
            </w:r>
          </w:p>
        </w:tc>
        <w:tc>
          <w:tcPr>
            <w:tcW w:w="4261" w:type="dxa"/>
            <w:gridSpan w:val="3"/>
            <w:vAlign w:val="center"/>
          </w:tcPr>
          <w:p w:rsidR="00EB7507" w:rsidRDefault="00EB7507" w:rsidP="002F1787">
            <w:pPr>
              <w:spacing w:line="360" w:lineRule="auto"/>
              <w:jc w:val="center"/>
              <w:rPr>
                <w:rFonts w:ascii="Times New Roman" w:hAnsi="Times New Roman"/>
                <w:sz w:val="24"/>
                <w:szCs w:val="24"/>
              </w:rPr>
            </w:pPr>
          </w:p>
          <w:p w:rsidR="00EB7507" w:rsidRPr="00E95296" w:rsidRDefault="00EB7507" w:rsidP="002F1787">
            <w:pPr>
              <w:spacing w:line="360" w:lineRule="auto"/>
              <w:jc w:val="center"/>
              <w:rPr>
                <w:rFonts w:ascii="Times New Roman" w:hAnsi="Times New Roman"/>
                <w:i/>
                <w:sz w:val="24"/>
                <w:szCs w:val="24"/>
              </w:rPr>
            </w:pPr>
            <w:r w:rsidRPr="00E95296">
              <w:rPr>
                <w:rFonts w:ascii="Times New Roman" w:hAnsi="Times New Roman" w:hint="eastAsia"/>
                <w:i/>
                <w:sz w:val="24"/>
                <w:szCs w:val="24"/>
              </w:rPr>
              <w:t>以权益登记日份额为准</w:t>
            </w:r>
          </w:p>
          <w:p w:rsidR="00EB7507" w:rsidRPr="008E1C62" w:rsidRDefault="00EB7507" w:rsidP="002F1787">
            <w:pPr>
              <w:spacing w:line="360" w:lineRule="auto"/>
              <w:jc w:val="center"/>
              <w:rPr>
                <w:rFonts w:ascii="Times New Roman" w:hAnsi="Times New Roman"/>
                <w:sz w:val="24"/>
                <w:szCs w:val="24"/>
              </w:rPr>
            </w:pPr>
          </w:p>
        </w:tc>
      </w:tr>
      <w:tr w:rsidR="00EB7507" w:rsidTr="002F1787">
        <w:tc>
          <w:tcPr>
            <w:tcW w:w="4261" w:type="dxa"/>
          </w:tcPr>
          <w:p w:rsidR="00EB7507" w:rsidRPr="008E1C62" w:rsidRDefault="00EB7507" w:rsidP="002F1787">
            <w:pPr>
              <w:spacing w:line="360" w:lineRule="auto"/>
              <w:jc w:val="center"/>
              <w:rPr>
                <w:rFonts w:ascii="Times New Roman" w:hAnsi="Times New Roman"/>
                <w:b/>
                <w:sz w:val="24"/>
                <w:szCs w:val="24"/>
              </w:rPr>
            </w:pPr>
            <w:r w:rsidRPr="008E1C62">
              <w:rPr>
                <w:rFonts w:ascii="Times New Roman" w:hAnsi="Times New Roman" w:hint="eastAsia"/>
                <w:b/>
                <w:sz w:val="24"/>
                <w:szCs w:val="24"/>
              </w:rPr>
              <w:t>审议事项</w:t>
            </w:r>
          </w:p>
        </w:tc>
        <w:tc>
          <w:tcPr>
            <w:tcW w:w="1420" w:type="dxa"/>
          </w:tcPr>
          <w:p w:rsidR="00EB7507" w:rsidRPr="008E1C62" w:rsidRDefault="00EB7507" w:rsidP="002F1787">
            <w:pPr>
              <w:spacing w:line="360" w:lineRule="auto"/>
              <w:jc w:val="center"/>
              <w:rPr>
                <w:rFonts w:ascii="Times New Roman" w:hAnsi="Times New Roman"/>
                <w:b/>
                <w:sz w:val="24"/>
                <w:szCs w:val="24"/>
              </w:rPr>
            </w:pPr>
            <w:r w:rsidRPr="008E1C62">
              <w:rPr>
                <w:rFonts w:ascii="Times New Roman" w:hAnsi="Times New Roman" w:hint="eastAsia"/>
                <w:b/>
                <w:sz w:val="24"/>
                <w:szCs w:val="24"/>
              </w:rPr>
              <w:t>同意</w:t>
            </w:r>
          </w:p>
        </w:tc>
        <w:tc>
          <w:tcPr>
            <w:tcW w:w="1420" w:type="dxa"/>
          </w:tcPr>
          <w:p w:rsidR="00EB7507" w:rsidRPr="008E1C62" w:rsidRDefault="00EB7507" w:rsidP="002F1787">
            <w:pPr>
              <w:spacing w:line="360" w:lineRule="auto"/>
              <w:jc w:val="center"/>
              <w:rPr>
                <w:rFonts w:ascii="Times New Roman" w:hAnsi="Times New Roman"/>
                <w:b/>
                <w:sz w:val="24"/>
                <w:szCs w:val="24"/>
              </w:rPr>
            </w:pPr>
            <w:r w:rsidRPr="008E1C62">
              <w:rPr>
                <w:rFonts w:ascii="Times New Roman" w:hAnsi="Times New Roman" w:hint="eastAsia"/>
                <w:b/>
                <w:sz w:val="24"/>
                <w:szCs w:val="24"/>
              </w:rPr>
              <w:t>反对</w:t>
            </w:r>
          </w:p>
        </w:tc>
        <w:tc>
          <w:tcPr>
            <w:tcW w:w="1421" w:type="dxa"/>
          </w:tcPr>
          <w:p w:rsidR="00EB7507" w:rsidRPr="008E1C62" w:rsidRDefault="00EB7507" w:rsidP="002F1787">
            <w:pPr>
              <w:spacing w:line="360" w:lineRule="auto"/>
              <w:jc w:val="center"/>
              <w:rPr>
                <w:rFonts w:ascii="Times New Roman" w:hAnsi="Times New Roman"/>
                <w:b/>
                <w:sz w:val="24"/>
                <w:szCs w:val="24"/>
              </w:rPr>
            </w:pPr>
            <w:r w:rsidRPr="008E1C62">
              <w:rPr>
                <w:rFonts w:ascii="Times New Roman" w:hAnsi="Times New Roman" w:hint="eastAsia"/>
                <w:b/>
                <w:sz w:val="24"/>
                <w:szCs w:val="24"/>
              </w:rPr>
              <w:t>弃权</w:t>
            </w:r>
          </w:p>
        </w:tc>
      </w:tr>
      <w:tr w:rsidR="00EB7507" w:rsidTr="002F1787">
        <w:tc>
          <w:tcPr>
            <w:tcW w:w="4261" w:type="dxa"/>
          </w:tcPr>
          <w:p w:rsidR="00EB7507" w:rsidRDefault="00EB7507" w:rsidP="002F1787">
            <w:pPr>
              <w:spacing w:line="360" w:lineRule="auto"/>
              <w:rPr>
                <w:rFonts w:ascii="TT64E9BFA0tCID-WinCharSetFFFF-H" w:eastAsia="TT64E9BFA0tCID-WinCharSetFFFF-H" w:cs="TT64E9BFA0tCID-WinCharSetFFFF-H"/>
                <w:kern w:val="0"/>
                <w:szCs w:val="21"/>
              </w:rPr>
            </w:pPr>
            <w:r>
              <w:rPr>
                <w:rFonts w:ascii="Times New Roman" w:hAnsi="Times New Roman" w:hint="eastAsia"/>
                <w:sz w:val="24"/>
                <w:szCs w:val="24"/>
              </w:rPr>
              <w:t>《</w:t>
            </w:r>
            <w:r w:rsidRPr="00DB6D29">
              <w:rPr>
                <w:rFonts w:ascii="Times New Roman" w:hAnsi="Times New Roman" w:hint="eastAsia"/>
                <w:sz w:val="24"/>
                <w:szCs w:val="24"/>
              </w:rPr>
              <w:t>关于广发亚太（除日本）精选股票型证券投资基金变更投资范围等事项的议案</w:t>
            </w:r>
            <w:r>
              <w:rPr>
                <w:rFonts w:ascii="Times New Roman" w:hAnsi="Times New Roman" w:hint="eastAsia"/>
                <w:sz w:val="24"/>
                <w:szCs w:val="24"/>
              </w:rPr>
              <w:t>》</w:t>
            </w:r>
          </w:p>
        </w:tc>
        <w:tc>
          <w:tcPr>
            <w:tcW w:w="1420" w:type="dxa"/>
          </w:tcPr>
          <w:p w:rsidR="00EB7507" w:rsidRDefault="00EB7507" w:rsidP="002F1787">
            <w:pPr>
              <w:spacing w:line="360" w:lineRule="auto"/>
              <w:rPr>
                <w:rFonts w:ascii="TT64E9BFA0tCID-WinCharSetFFFF-H" w:eastAsia="TT64E9BFA0tCID-WinCharSetFFFF-H" w:cs="TT64E9BFA0tCID-WinCharSetFFFF-H"/>
                <w:kern w:val="0"/>
                <w:szCs w:val="21"/>
              </w:rPr>
            </w:pPr>
          </w:p>
        </w:tc>
        <w:tc>
          <w:tcPr>
            <w:tcW w:w="1420" w:type="dxa"/>
          </w:tcPr>
          <w:p w:rsidR="00EB7507" w:rsidRDefault="00EB7507" w:rsidP="002F1787">
            <w:pPr>
              <w:spacing w:line="360" w:lineRule="auto"/>
              <w:rPr>
                <w:rFonts w:ascii="TT64E9BFA0tCID-WinCharSetFFFF-H" w:eastAsia="TT64E9BFA0tCID-WinCharSetFFFF-H" w:cs="TT64E9BFA0tCID-WinCharSetFFFF-H"/>
                <w:kern w:val="0"/>
                <w:szCs w:val="21"/>
              </w:rPr>
            </w:pPr>
          </w:p>
        </w:tc>
        <w:tc>
          <w:tcPr>
            <w:tcW w:w="1421" w:type="dxa"/>
          </w:tcPr>
          <w:p w:rsidR="00EB7507" w:rsidRDefault="00EB7507" w:rsidP="002F1787">
            <w:pPr>
              <w:spacing w:line="360" w:lineRule="auto"/>
              <w:rPr>
                <w:rFonts w:ascii="TT64E9BFA0tCID-WinCharSetFFFF-H" w:eastAsia="TT64E9BFA0tCID-WinCharSetFFFF-H" w:cs="TT64E9BFA0tCID-WinCharSetFFFF-H"/>
                <w:kern w:val="0"/>
                <w:szCs w:val="21"/>
              </w:rPr>
            </w:pPr>
          </w:p>
        </w:tc>
      </w:tr>
      <w:tr w:rsidR="00EB7507" w:rsidTr="002F1787">
        <w:tc>
          <w:tcPr>
            <w:tcW w:w="8522" w:type="dxa"/>
            <w:gridSpan w:val="4"/>
          </w:tcPr>
          <w:p w:rsidR="00EB7507" w:rsidRPr="008E1C62" w:rsidRDefault="00EB7507" w:rsidP="002F1787">
            <w:pPr>
              <w:spacing w:line="360" w:lineRule="auto"/>
              <w:rPr>
                <w:rFonts w:ascii="Times New Roman" w:hAnsi="Times New Roman"/>
                <w:sz w:val="24"/>
                <w:szCs w:val="24"/>
              </w:rPr>
            </w:pPr>
            <w:r w:rsidRPr="008E1C62">
              <w:rPr>
                <w:rFonts w:ascii="Times New Roman" w:hAnsi="Times New Roman" w:hint="eastAsia"/>
                <w:sz w:val="24"/>
                <w:szCs w:val="24"/>
              </w:rPr>
              <w:t>基金份额持有人</w:t>
            </w:r>
            <w:r w:rsidRPr="008E1C62">
              <w:rPr>
                <w:rFonts w:ascii="Times New Roman" w:hAnsi="Times New Roman"/>
                <w:sz w:val="24"/>
                <w:szCs w:val="24"/>
              </w:rPr>
              <w:t>/</w:t>
            </w:r>
            <w:r w:rsidRPr="008E1C62">
              <w:rPr>
                <w:rFonts w:ascii="Times New Roman" w:hAnsi="Times New Roman" w:hint="eastAsia"/>
                <w:sz w:val="24"/>
                <w:szCs w:val="24"/>
              </w:rPr>
              <w:t>受托人签名或盖章</w:t>
            </w:r>
          </w:p>
          <w:p w:rsidR="00EB7507" w:rsidRPr="008E1C62" w:rsidRDefault="00EB7507" w:rsidP="002F1787">
            <w:pPr>
              <w:spacing w:line="360" w:lineRule="auto"/>
              <w:rPr>
                <w:rFonts w:ascii="Times New Roman" w:hAnsi="Times New Roman"/>
                <w:sz w:val="24"/>
                <w:szCs w:val="24"/>
              </w:rPr>
            </w:pPr>
          </w:p>
          <w:p w:rsidR="00EB7507" w:rsidRPr="008E1C62" w:rsidRDefault="00EB7507" w:rsidP="002F1787">
            <w:pPr>
              <w:spacing w:line="360" w:lineRule="auto"/>
              <w:rPr>
                <w:rFonts w:ascii="Times New Roman" w:hAnsi="Times New Roman"/>
                <w:sz w:val="24"/>
                <w:szCs w:val="24"/>
              </w:rPr>
            </w:pPr>
          </w:p>
          <w:p w:rsidR="00EB7507" w:rsidRDefault="00EB7507" w:rsidP="002F1787">
            <w:pPr>
              <w:spacing w:line="360" w:lineRule="auto"/>
              <w:rPr>
                <w:rFonts w:ascii="Times New Roman" w:hAnsi="Times New Roman"/>
                <w:sz w:val="24"/>
                <w:szCs w:val="24"/>
              </w:rPr>
            </w:pPr>
          </w:p>
          <w:p w:rsidR="005E0312" w:rsidRPr="008E1C62" w:rsidRDefault="005E0312" w:rsidP="002F1787">
            <w:pPr>
              <w:spacing w:line="360" w:lineRule="auto"/>
              <w:rPr>
                <w:rFonts w:ascii="Times New Roman" w:hAnsi="Times New Roman"/>
                <w:sz w:val="24"/>
                <w:szCs w:val="24"/>
              </w:rPr>
            </w:pPr>
          </w:p>
          <w:p w:rsidR="00EB7507" w:rsidRPr="008E1C62" w:rsidRDefault="00EB7507" w:rsidP="002F1787">
            <w:pPr>
              <w:spacing w:line="360" w:lineRule="auto"/>
              <w:rPr>
                <w:rFonts w:ascii="Times New Roman" w:hAnsi="Times New Roman"/>
                <w:sz w:val="24"/>
                <w:szCs w:val="24"/>
              </w:rPr>
            </w:pPr>
          </w:p>
          <w:p w:rsidR="00EB7507" w:rsidRPr="008E1C62" w:rsidRDefault="00EB7507" w:rsidP="002877FC">
            <w:pPr>
              <w:spacing w:line="360" w:lineRule="auto"/>
              <w:jc w:val="right"/>
              <w:rPr>
                <w:rFonts w:ascii="Times New Roman" w:hAnsi="Times New Roman"/>
                <w:sz w:val="24"/>
                <w:szCs w:val="24"/>
              </w:rPr>
            </w:pPr>
            <w:r w:rsidRPr="008E1C62">
              <w:rPr>
                <w:rFonts w:ascii="Times New Roman" w:hAnsi="Times New Roman"/>
                <w:sz w:val="24"/>
                <w:szCs w:val="24"/>
              </w:rPr>
              <w:t>201</w:t>
            </w:r>
            <w:r w:rsidR="002877FC">
              <w:rPr>
                <w:rFonts w:ascii="Times New Roman" w:hAnsi="Times New Roman" w:hint="eastAsia"/>
                <w:sz w:val="24"/>
                <w:szCs w:val="24"/>
              </w:rPr>
              <w:t>4</w:t>
            </w:r>
            <w:r w:rsidRPr="008E1C62">
              <w:rPr>
                <w:rFonts w:ascii="Times New Roman" w:hAnsi="Times New Roman"/>
                <w:sz w:val="24"/>
                <w:szCs w:val="24"/>
              </w:rPr>
              <w:t xml:space="preserve"> </w:t>
            </w:r>
            <w:r w:rsidRPr="008E1C62">
              <w:rPr>
                <w:rFonts w:ascii="Times New Roman" w:hAnsi="Times New Roman" w:hint="eastAsia"/>
                <w:sz w:val="24"/>
                <w:szCs w:val="24"/>
              </w:rPr>
              <w:t>年</w:t>
            </w:r>
            <w:r>
              <w:rPr>
                <w:rFonts w:ascii="Times New Roman" w:hAnsi="Times New Roman" w:hint="eastAsia"/>
                <w:sz w:val="24"/>
                <w:szCs w:val="24"/>
              </w:rPr>
              <w:t xml:space="preserve">  </w:t>
            </w:r>
            <w:r w:rsidRPr="008E1C62">
              <w:rPr>
                <w:rFonts w:ascii="Times New Roman" w:hAnsi="Times New Roman"/>
                <w:sz w:val="24"/>
                <w:szCs w:val="24"/>
              </w:rPr>
              <w:t xml:space="preserve"> </w:t>
            </w:r>
            <w:r w:rsidRPr="008E1C62">
              <w:rPr>
                <w:rFonts w:ascii="Times New Roman" w:hAnsi="Times New Roman" w:hint="eastAsia"/>
                <w:sz w:val="24"/>
                <w:szCs w:val="24"/>
              </w:rPr>
              <w:t>月</w:t>
            </w:r>
            <w:r>
              <w:rPr>
                <w:rFonts w:ascii="Times New Roman" w:hAnsi="Times New Roman" w:hint="eastAsia"/>
                <w:sz w:val="24"/>
                <w:szCs w:val="24"/>
              </w:rPr>
              <w:t xml:space="preserve">  </w:t>
            </w:r>
            <w:r w:rsidRPr="008E1C62">
              <w:rPr>
                <w:rFonts w:ascii="Times New Roman" w:hAnsi="Times New Roman"/>
                <w:sz w:val="24"/>
                <w:szCs w:val="24"/>
              </w:rPr>
              <w:t xml:space="preserve"> </w:t>
            </w:r>
            <w:r w:rsidRPr="008E1C62">
              <w:rPr>
                <w:rFonts w:ascii="Times New Roman" w:hAnsi="Times New Roman" w:hint="eastAsia"/>
                <w:sz w:val="24"/>
                <w:szCs w:val="24"/>
              </w:rPr>
              <w:t>日</w:t>
            </w:r>
          </w:p>
        </w:tc>
      </w:tr>
      <w:tr w:rsidR="00EB7507" w:rsidTr="002F1787">
        <w:tc>
          <w:tcPr>
            <w:tcW w:w="8522" w:type="dxa"/>
            <w:gridSpan w:val="4"/>
          </w:tcPr>
          <w:p w:rsidR="00BD37FB" w:rsidRPr="007D584B" w:rsidRDefault="00BD37FB" w:rsidP="00BD37FB">
            <w:pPr>
              <w:rPr>
                <w:rFonts w:ascii="Times New Roman" w:hAnsi="Times New Roman"/>
                <w:b/>
                <w:sz w:val="24"/>
                <w:szCs w:val="24"/>
              </w:rPr>
            </w:pPr>
            <w:r w:rsidRPr="007D584B">
              <w:rPr>
                <w:rFonts w:ascii="Times New Roman" w:hAnsi="Times New Roman" w:hint="eastAsia"/>
                <w:b/>
                <w:sz w:val="24"/>
                <w:szCs w:val="24"/>
              </w:rPr>
              <w:t>重要提示</w:t>
            </w:r>
            <w:r w:rsidR="00EB7507" w:rsidRPr="007D584B">
              <w:rPr>
                <w:rFonts w:ascii="Times New Roman" w:hAnsi="Times New Roman" w:hint="eastAsia"/>
                <w:b/>
                <w:sz w:val="24"/>
                <w:szCs w:val="24"/>
              </w:rPr>
              <w:t>：</w:t>
            </w:r>
          </w:p>
          <w:p w:rsidR="00EB7507" w:rsidRPr="007D584B" w:rsidRDefault="00BD37FB" w:rsidP="00BD37FB">
            <w:pPr>
              <w:rPr>
                <w:rFonts w:ascii="Times New Roman" w:hAnsi="Times New Roman"/>
                <w:b/>
                <w:szCs w:val="21"/>
              </w:rPr>
            </w:pPr>
            <w:r w:rsidRPr="007D584B">
              <w:rPr>
                <w:rFonts w:ascii="Times New Roman" w:hAnsi="Times New Roman" w:hint="eastAsia"/>
                <w:b/>
                <w:szCs w:val="21"/>
              </w:rPr>
              <w:t>1</w:t>
            </w:r>
            <w:r w:rsidRPr="007D584B">
              <w:rPr>
                <w:rFonts w:ascii="Times New Roman" w:hAnsi="Times New Roman" w:hint="eastAsia"/>
                <w:b/>
                <w:szCs w:val="21"/>
              </w:rPr>
              <w:t>、机构投资者通过其管理的产品投资本基金的，投资者出具的本表决票表决意见视同其管理</w:t>
            </w:r>
            <w:r w:rsidR="006E446C">
              <w:rPr>
                <w:rFonts w:ascii="Times New Roman" w:hAnsi="Times New Roman" w:hint="eastAsia"/>
                <w:b/>
                <w:szCs w:val="21"/>
              </w:rPr>
              <w:t>全部</w:t>
            </w:r>
            <w:r w:rsidRPr="007D584B">
              <w:rPr>
                <w:rFonts w:ascii="Times New Roman" w:hAnsi="Times New Roman" w:hint="eastAsia"/>
                <w:b/>
                <w:szCs w:val="21"/>
              </w:rPr>
              <w:t>产品的投票意见。</w:t>
            </w:r>
          </w:p>
          <w:p w:rsidR="00EB7507" w:rsidRPr="007D584B" w:rsidRDefault="00BD37FB" w:rsidP="00BD37FB">
            <w:pPr>
              <w:rPr>
                <w:rFonts w:ascii="Times New Roman" w:hAnsi="Times New Roman"/>
                <w:b/>
                <w:sz w:val="24"/>
                <w:szCs w:val="24"/>
              </w:rPr>
            </w:pPr>
            <w:r w:rsidRPr="007D584B">
              <w:rPr>
                <w:rFonts w:ascii="Times New Roman" w:hAnsi="Times New Roman" w:hint="eastAsia"/>
                <w:b/>
                <w:szCs w:val="21"/>
              </w:rPr>
              <w:t>2</w:t>
            </w:r>
            <w:r w:rsidRPr="007D584B">
              <w:rPr>
                <w:rFonts w:ascii="Times New Roman" w:hAnsi="Times New Roman" w:hint="eastAsia"/>
                <w:b/>
                <w:szCs w:val="21"/>
              </w:rPr>
              <w:t>、</w:t>
            </w:r>
            <w:r w:rsidR="00EB7507" w:rsidRPr="007D584B">
              <w:rPr>
                <w:rFonts w:ascii="Times New Roman" w:hAnsi="Times New Roman" w:hint="eastAsia"/>
                <w:b/>
                <w:szCs w:val="21"/>
              </w:rPr>
              <w:t>请以打“√”方式在审议事项后注明表决意见。持有人必须选择一种且只能选择一种表决意见。本表决意见代表基金份额持有人在权益登记日所持全部基金份额的表决意见。表决意见未选、多选或字迹无法辨认或意愿无法判断、相互矛盾的表决票或表决意见空白的</w:t>
            </w:r>
            <w:proofErr w:type="gramStart"/>
            <w:r w:rsidR="00EB7507" w:rsidRPr="007D584B">
              <w:rPr>
                <w:rFonts w:ascii="Times New Roman" w:hAnsi="Times New Roman" w:hint="eastAsia"/>
                <w:b/>
                <w:szCs w:val="21"/>
              </w:rPr>
              <w:t>表决票均视为</w:t>
            </w:r>
            <w:proofErr w:type="gramEnd"/>
            <w:r w:rsidR="00EB7507" w:rsidRPr="007D584B">
              <w:rPr>
                <w:rFonts w:ascii="Times New Roman" w:hAnsi="Times New Roman" w:hint="eastAsia"/>
                <w:b/>
                <w:szCs w:val="21"/>
              </w:rPr>
              <w:t>投票人放弃表决权利，其所持全部基金份额的表决结果均计为“弃权”。签名或盖章部分填写不完整、不清晰的表决票计为无效表决票。</w:t>
            </w:r>
          </w:p>
        </w:tc>
      </w:tr>
    </w:tbl>
    <w:p w:rsidR="00AA0BF0" w:rsidRPr="00EB7507" w:rsidRDefault="00AA0BF0"/>
    <w:sectPr w:rsidR="00AA0BF0" w:rsidRPr="00EB7507" w:rsidSect="006F52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T64E9BFA0tCID-WinCharSetFFFF-H">
    <w:altName w:val="华文中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507"/>
    <w:rsid w:val="002877FC"/>
    <w:rsid w:val="004D55CD"/>
    <w:rsid w:val="005E0312"/>
    <w:rsid w:val="006E446C"/>
    <w:rsid w:val="0078249C"/>
    <w:rsid w:val="007D584B"/>
    <w:rsid w:val="00A71181"/>
    <w:rsid w:val="00AA0BF0"/>
    <w:rsid w:val="00AC46D3"/>
    <w:rsid w:val="00AF5977"/>
    <w:rsid w:val="00BD37FB"/>
    <w:rsid w:val="00E95296"/>
    <w:rsid w:val="00EB7507"/>
    <w:rsid w:val="00FB4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7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E446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Words>
  <Characters>378</Characters>
  <Application>Microsoft Office Word</Application>
  <DocSecurity>0</DocSecurity>
  <Lines>3</Lines>
  <Paragraphs>1</Paragraphs>
  <ScaleCrop>false</ScaleCrop>
  <Company>GFFUNDS</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黎水龙</dc:creator>
  <cp:keywords/>
  <dc:description/>
  <cp:lastModifiedBy>黎水龙</cp:lastModifiedBy>
  <cp:revision>10</cp:revision>
  <dcterms:created xsi:type="dcterms:W3CDTF">2014-03-24T02:15:00Z</dcterms:created>
  <dcterms:modified xsi:type="dcterms:W3CDTF">2014-03-28T07:01:00Z</dcterms:modified>
</cp:coreProperties>
</file>